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Коммунальная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03:49 МСК · База обновлена: 23.07.2026, 17:29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оценку соответствия организации работы учреждения, оказывающего парикмахерские и косметологические услуги.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требованиям, предъявляемым к организации оказания услуг солярия в парикмахерских,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совмещение зоны оператора с зоной приема посетителей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дезинфекцию поверхностей кабины солярия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обустройство зоны оператора, защищенной от УФ лучей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зоне оператора пульта дистанционного управления, исключающего самовольное изменение времени сеанса пользователем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зоны оператора в случае предоставления услуг солярия в автоматическом режиме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запрет на использование оборудования с диапазоном УФ излучения УФ-С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совмещение зоны оператора с зоной приема посетителей; 3 — обустройство зоны оператора, защищенной от УФ лучей; 4 — наличие в зоне оператора пульта дистанционного управления, исключающего самовольное изменение времени сеанса пользователем; 5 — отсутствие зоны оператора в случае предоставления услуг солярия в автоматическом режиме; 6 — запрет на использование оборудования с диапазоном УФ излучения УФ-С</w:t>
      </w:r>
    </w:p>
    <w:p>
      <w:pPr>
        <w:ind w:left="504"/>
      </w:pPr>
      <w:r>
        <w:rPr>
          <w:b w:val="0"/>
          <w:i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Зона оператора оборудуется пультом дистанционного управления солярием (соляриями), исключающими самовольное изменение времени сеанса посетителем.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состав помещений, где расположены кабины соляриев, при отсутствии других услуг, оказываемых данной организацией, должна входить зона, в которой обеспечивается защита оператора от ультрафиолетовых лучей. При предоставлении организациями прочих персональных услуг и косметических услуг зона оператора может быть оборудована совместно с зоной приема посетителей. В случае если услуги</w:t>
        <w:br/>
        <w:t>солярия предоставляются в автоматическом режиме, то зона оператора не требуется.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соляриях не допускается использовать оборудование с диапазоном ультрафиолетового излучения УФ-C.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обеспечения работы педикюрного кабинета, оказывающего услуги не аппаратного педикюра, необходимо предусмотреть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туалета для посетителей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раковины для мытья инструментария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ванн для ног с горячей и холодной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места для приема пищи персоналом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места для стерилизации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раковины для мытья рук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2 ванн для ног с горячей и холодной водой; 6 — раковины для мытья рук</w:t>
      </w:r>
    </w:p>
    <w:p>
      <w:pPr>
        <w:ind w:left="504"/>
      </w:pPr>
      <w:r>
        <w:rPr>
          <w:b w:val="0"/>
          <w:i/>
        </w:rP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педикюрных кабинетах должно быть не менее 2 ванн для ног с подводкой горячей и холодной воды и отдельная раковина для мытья рук. Для педикюрных кабинетов, оказывающих услуги аппаратного педикюра, по технологии не предусматривающего использование воды, установка ванн для ног не требуется.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эксплуатации аппаратов солярия в целях поддержания санитарно-гигиенического режима необходимо соблюдать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очистку вентиляционных отверстий аппарата солярия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обработку дезинфицирующими средствами после каждого посетителя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одноразовых полотенец или тапочек при использовании вертикальных кабин солярия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замену ламп при нормативной выработке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замену, ламп каждые 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еженедельную дезинфекцию во время генеральной уборки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очистку вентиляционных отверстий аппарата солярия; 2 — обработку дезинфицирующими средствами после каждого посетителя; 3 — наличие одноразовых полотенец или тапочек при использовании вертикальных кабин солярия; 4 — замену ламп при нормативной выработке часов</w:t>
      </w:r>
    </w:p>
    <w:p>
      <w:pPr>
        <w:ind w:left="504"/>
      </w:pPr>
      <w:r>
        <w:rPr>
          <w:b w:val="0"/>
          <w:i/>
        </w:rPr>
        <w:t>Необходимо проводить периодическую очистку вентиляционных отверстий внутри</w:t>
        <w:br/>
        <w:t>аппарата с периодичностью, указанной в инструкции по эксплуатации.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После каждого сеанса все поверхности кабины солярия, с которыми контактировал</w:t>
        <w:br/>
        <w:t>посетитель, должны быть обработаны дезинфицирующими средствами.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использовании вертикального солярия посетителям должны предоставляться одноразовые полотенца для пола кабины или одноразовые тапочки.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Замена ламп должна производиться при нормативной выработке часов, указанной в</w:t>
        <w:br/>
        <w:t>технической документации на лампы.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целью предотвращения распространения инфекционных заболеваний предусмотрена обработка, включающая мытье под проточной водой, стерилизацию или дезинфекцию по режиму, применяемому при грибковых заболеваниях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электродов к косметическому оборудованию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съемных ножей электробритв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ножниц для стрижки волос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инструментов для татуажа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расчесок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щеток; 4 — ножниц для стрижки волос; 6 — расчесок</w:t>
      </w:r>
    </w:p>
    <w:p>
      <w:pPr>
        <w:ind w:left="504"/>
      </w:pPr>
      <w:r>
        <w:rPr>
          <w:b w:val="0"/>
          <w:i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Минимальные типовые наборы инструментов в количестве 3-х штук на 1 рабочее место должны быть определены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парикмахерского зала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косметического кабинета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кабинета массажа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маникюра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пирсинга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кабинета педикюра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парикмахерского зала; 2 — косметического кабинета; 4 — кабинета маникюра; 5 — кабинета пирсинга; 6 — кабинета педикюра</w:t>
      </w:r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 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 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парикмахерских залов и кабинетов для маникюра, педикюра, пирсинга, пилинга,</w:t>
        <w:br/>
        <w:t>татуажа, косметических услуг должен быть определен минимальный набор типовых инструментов, либо сменных одноразовых элементов инструмента для обслуживания одного посетителя. На 1 рабочее место выделяется не менее 3 таких наборов.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Стерилизация инструментария для маникюра и педикюра непосредственно в соответствующих кабинетах в неупакованном виде допускается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наличии закрывающегося шкафа для хранения стерильных инструментов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использовании до конца рабочей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использовании в течение 1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наличии бактерицидного рециркулятора воздуха в кабинетах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хранении в стерилизаторах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количестве рабочих мест мастеров маникюра не более 3-х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использовании в течение 1 часа; 5 — хранении в стерилизаторах</w:t>
      </w:r>
    </w:p>
    <w:p>
      <w:pPr>
        <w:ind w:left="504"/>
      </w:pPr>
      <w:r>
        <w:rPr>
          <w:b w:val="0"/>
          <w:i/>
        </w:rPr>
        <w:t>Инструменты для маникюра, педикюра, татуажа, пирсинга, пилинга,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Ватные диски, марлевые салфетки, ватные шарики должны быть одноразовыми, стерильно упакованными. 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Инструменты для маникюра, педикюра, татуажа, пирсинга, пилинга, марлевые салфетки, ватные шарики, а также другие расходные материалы стерилизуются в стерилизаторах упакованными в стерилизационные упаковочные материалы и в них же хранятся. На пакете должно быть указание даты стерилизации. Ватные диски, марлевые салфетки, ватные шарики должны быть одноразовыми, стерильно упакованными. В случае если инструменты будут использованы в течение 1 часа или храниться в стерилизаторах, допускается их стерилизация в неупакованном виде в помещении, в котором оказываются услуги.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целях поддержания санитарно-гигиенического режима в парикмахерских необходимо обустроить места (или помещения) для отдельного хранения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моющих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стерильных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использованного белья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чистого белья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парфюмерно-косметических средств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дезинфицирующих средств; 2 — моющих средств; 4 — использованного белья; 5 — чистого белья; 6 — парфюмерно-косметических средств</w:t>
      </w:r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целях поддержания санитарно-гигиенического режима в парикмахерских необходимо 2 раза в день осуществлять обработку моющими и дезинфицирующими средствами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подоконников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светильников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дверей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мебели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оборудования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подоконников; 3 — дверей; 4 — полов; 5 — мебели; 6 — оборудования</w:t>
      </w:r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предупреждения ухудшения санитарного состояния помещений парикмахерской, а также в целях профилактики распространения инфекционных заболеваний остриженные волосы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смести в мусорную корзину в парикмахерском зале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сложить в одноразовый пакет или мешок из крафт-бумаги, закрыть и перевязать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собрать в совок у кресла клиента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хранить в подсобном помещении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утилизировать как медицинские отходы класса 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утилизировать вместе с ТКО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сложить в одноразовый пакет или мешок из крафт-бумаги, закрыть и перевязать; 3 — собрать в совок у кресла клиента; 4 — хранить в подсобном помещении; 6 — утилизировать вместе с ТКО</w:t>
      </w:r>
    </w:p>
    <w:p>
      <w:pPr>
        <w:ind w:left="504"/>
      </w:pPr>
      <w:r>
        <w:rPr>
          <w:b w:val="0"/>
          <w:i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предупреждения распространения инфекционных заболеваний, в том числе с парентеральным путем передачи, контроль стерильности в парикмахерских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установки стерилизационного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ремонта стерилизационного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раза в год в рамках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процессе эксплуатации с помощью химических индикаторов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в случае возникновении заболеваний с парентеральным путем передачи среди клиентов или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ежегодно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после установки стерилизационного оборудования; 2 — после ремонта стерилизационного оборудования; 3 — 2 раза в год в рамках производственного контроля; 4 — в процессе эксплуатации с помощью химических индикаторов</w:t>
      </w:r>
    </w:p>
    <w:p>
      <w:pPr>
        <w:ind w:left="504"/>
      </w:pPr>
      <w:r>
        <w:rPr>
          <w:b w:val="0"/>
          <w:i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организациях, оказывающих косметические и парикмахерские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эффективностью. Стерилизационное оборудование подлежит бактериологическому контролю после установки, ремонта и в ходе эксплуатации. Контроль качества каждого цикла стерилизации должен осуществляться посредством химических индикаторов.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контроля соблюдения санитарно-эпидемиологического режима в парикмахерских, относительно организации стирки белья и рабочей одежды, предусмотрено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централизованной стирки по договору с прачечной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стирки рабочей одежды силами персонала в домашних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стирки в парикмахерской при организации в специально выделенном помещении мини-прачечной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стрики использованного белья совместно с рабочей одеждой, но с использованием мешка для стирки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стирки рабочей одежды в прачечной на технологической линии, предназначенной для стирки спецодежды из медицинских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раздельной стирки использованного белья и рабочей одежды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централизованной стирки по договору с прачечной; 3 — стирки в парикмахерской при организации в специально выделенном помещении мини-прачечной; 6 — раздельной стирки использованного белья и рабочей одежды</w:t>
      </w:r>
    </w:p>
    <w:p>
      <w:pPr>
        <w:ind w:left="504"/>
      </w:pPr>
      <w:r>
        <w:rPr>
          <w:b w:val="0"/>
          <w:i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24.12.2020 N 44 (ред. от 14.04.2022) "Об утверждении санитарных правил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Гигиеническая оценка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показателям, уровни которых не соответствуют гигиеническим нормативам, установленным для централизованного водоснабжения,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нефтепродукты суммарно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ПАВ анионоактивные суммарно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перманганатную окисляемость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жесткость общую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общую минерализацию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ПАВ анионоактивные суммарно; 4 — жесткость общую</w:t>
      </w:r>
    </w:p>
    <w:p>
      <w:pPr>
        <w:ind w:left="504"/>
      </w:pPr>
      <w:r>
        <w:rPr>
          <w:b w:val="0"/>
          <w:i/>
        </w:rPr>
        <w:t>Допустимый суммарный уровень ПАВ анионоактивных в воде централизованного водоснабжения составляет не более 0,5 мг/дм3.</w:t>
        <w:br/>
        <w:br/>
      </w:r>
      <w:hyperlink r:id="rId42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Допустимый уровень жесткости общей в воде централизованного водоснабжения составляет не более 7,0 мг-экв/дм3.</w:t>
        <w:br/>
        <w:br/>
      </w:r>
      <w:hyperlink r:id="rId42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Коммунальная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hyperlink" Target="https://library.mededtech.ru/rest/documents/sp2.1.3678/" TargetMode="External"/><Relationship Id="rId25" Type="http://schemas.openxmlformats.org/officeDocument/2006/relationships/hyperlink" Target="https://library.mededtech.ru/rest/documents/sp2.1.3678/#list_item_ofipr1" TargetMode="External"/><Relationship Id="rId26" Type="http://schemas.openxmlformats.org/officeDocument/2006/relationships/hyperlink" Target="https://library.mededtech.ru/rest/documents/sp2.1.3678/#list_item_653g48" TargetMode="External"/><Relationship Id="rId27" Type="http://schemas.openxmlformats.org/officeDocument/2006/relationships/hyperlink" Target="https://library.mededtech.ru/rest/documents/sp2.1.3678/#list_item_lcd3u4" TargetMode="External"/><Relationship Id="rId28" Type="http://schemas.openxmlformats.org/officeDocument/2006/relationships/hyperlink" Target="https://library.mededtech.ru/rest/documents/sp2.1.3678/#list_item_quotav" TargetMode="External"/><Relationship Id="rId29" Type="http://schemas.openxmlformats.org/officeDocument/2006/relationships/hyperlink" Target="https://library.mededtech.ru/rest/documents/sp2.1.3678/#list_item_4ffbt8" TargetMode="External"/><Relationship Id="rId30" Type="http://schemas.openxmlformats.org/officeDocument/2006/relationships/image" Target="media/image9.png"/><Relationship Id="rId31" Type="http://schemas.openxmlformats.org/officeDocument/2006/relationships/hyperlink" Target="https://library.mededtech.ru/rest/documents/sp2.1.3678/#list_item_vn2mbn" TargetMode="External"/><Relationship Id="rId32" Type="http://schemas.openxmlformats.org/officeDocument/2006/relationships/hyperlink" Target="https://library.mededtech.ru/rest/documents/sp2.1.3678/#list_item_es3hm6" TargetMode="External"/><Relationship Id="rId33" Type="http://schemas.openxmlformats.org/officeDocument/2006/relationships/hyperlink" Target="https://library.mededtech.ru/rest/documents/sp2.1.3678/#list_item_kmp7h1" TargetMode="External"/><Relationship Id="rId34" Type="http://schemas.openxmlformats.org/officeDocument/2006/relationships/hyperlink" Target="https://library.mededtech.ru/rest/documents/sp2.1.3678/#list_item_vl2r22" TargetMode="External"/><Relationship Id="rId35" Type="http://schemas.openxmlformats.org/officeDocument/2006/relationships/hyperlink" Target="https://library.mededtech.ru/rest/documents/sp2.1.3678/#list_item_ah33fs" TargetMode="External"/><Relationship Id="rId36" Type="http://schemas.openxmlformats.org/officeDocument/2006/relationships/hyperlink" Target="https://library.mededtech.ru/rest/documents/sp2.1.3678/#list_item_v4669o" TargetMode="External"/><Relationship Id="rId37" Type="http://schemas.openxmlformats.org/officeDocument/2006/relationships/hyperlink" Target="https://library.mededtech.ru/rest/documents/sp2.1.3678/#list_item_tp6svp" TargetMode="External"/><Relationship Id="rId38" Type="http://schemas.openxmlformats.org/officeDocument/2006/relationships/hyperlink" Target="https://library.mededtech.ru/rest/documents/sp2.1.3678/#list_item_h63sis" TargetMode="External"/><Relationship Id="rId39" Type="http://schemas.openxmlformats.org/officeDocument/2006/relationships/hyperlink" Target="https://library.mededtech.ru/rest/documents/sp2.1.3678/#list_item_ta6e45" TargetMode="External"/><Relationship Id="rId40" Type="http://schemas.openxmlformats.org/officeDocument/2006/relationships/hyperlink" Target="https://library.mededtech.ru/rest/documents/sp2.1.3678/#list_item_8h2sot" TargetMode="External"/><Relationship Id="rId41" Type="http://schemas.openxmlformats.org/officeDocument/2006/relationships/hyperlink" Target="https://library.mededtech.ru/rest/documents/sp2.1.3678/#list_item_mvr717" TargetMode="External"/><Relationship Id="rId42" Type="http://schemas.openxmlformats.org/officeDocument/2006/relationships/hyperlink" Target="https://library.mededtech.ru/rest/documents/sp1.2.3685-21/" TargetMode="External"/><Relationship Id="rId43" Type="http://schemas.openxmlformats.org/officeDocument/2006/relationships/hyperlink" Target="https://library.mededtech.ru/rest/documents/sp1.2.3685-21/#tab3_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